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200" w:after="80" w:line="269" w:lineRule="auto"/>
        <w:jc w:val="center"/>
      </w:pPr>
      <w:r>
        <w:rPr>
          <w:rFonts w:ascii="Aptos" w:hAnsi="Aptos"/>
          <w:b/>
          <w:i w:val="0"/>
          <w:color w:val="C89B3C"/>
          <w:sz w:val="19"/>
        </w:rPr>
        <w:t>SECOND ANNOUNCEMENT</w:t>
      </w:r>
    </w:p>
    <w:p>
      <w:pPr>
        <w:keepNext/>
        <w:spacing w:before="0" w:after="40" w:line="269" w:lineRule="auto"/>
        <w:jc w:val="center"/>
      </w:pPr>
      <w:r>
        <w:rPr>
          <w:rFonts w:ascii="Aptos" w:hAnsi="Aptos"/>
          <w:b/>
          <w:i w:val="0"/>
          <w:color w:val="17365D"/>
          <w:sz w:val="50"/>
        </w:rPr>
        <w:t>“Space Physics and Multi-Sphere Coupling”</w:t>
      </w:r>
    </w:p>
    <w:p>
      <w:pPr>
        <w:keepNext/>
        <w:spacing w:before="0" w:after="240" w:line="269" w:lineRule="auto"/>
        <w:jc w:val="center"/>
      </w:pPr>
      <w:r>
        <w:rPr>
          <w:rFonts w:ascii="Aptos" w:hAnsi="Aptos"/>
          <w:b/>
          <w:i w:val="0"/>
          <w:color w:val="2E75B6"/>
          <w:sz w:val="36"/>
        </w:rPr>
        <w:t>International Workshop</w:t>
      </w:r>
    </w:p>
    <w:p>
      <w:pPr>
        <w:spacing w:before="0" w:after="320" w:line="269" w:lineRule="auto"/>
        <w:jc w:val="center"/>
      </w:pPr>
      <w:r>
        <w:rPr>
          <w:rFonts w:ascii="Aptos" w:hAnsi="Aptos"/>
          <w:b/>
          <w:i w:val="0"/>
          <w:color w:val="5B6573"/>
          <w:sz w:val="23"/>
        </w:rPr>
        <w:t>28 September - 3 October 2026  |  Iceland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17"/>
        <w:gridCol w:w="4917"/>
      </w:tblGrid>
      <w:tr>
        <w:tc>
          <w:tcPr>
            <w:tcW w:type="dxa" w:w="2088"/>
            <w:tcMar>
              <w:top w:w="75" w:type="dxa"/>
              <w:start w:w="110" w:type="dxa"/>
              <w:bottom w:w="75" w:type="dxa"/>
              <w:end w:w="110" w:type="dxa"/>
            </w:tcMar>
            <w:vAlign w:val="center"/>
            <w:shd w:fill="EAF2F8"/>
          </w:tcPr>
          <w:p>
            <w:r>
              <w:rPr>
                <w:rFonts w:ascii="Aptos" w:hAnsi="Aptos"/>
                <w:b/>
                <w:color w:val="17365D"/>
                <w:sz w:val="19"/>
              </w:rPr>
              <w:t>Dates</w:t>
            </w:r>
          </w:p>
        </w:tc>
        <w:tc>
          <w:tcPr>
            <w:tcW w:type="dxa" w:w="7560"/>
            <w:tcMar>
              <w:top w:w="75" w:type="dxa"/>
              <w:start w:w="110" w:type="dxa"/>
              <w:bottom w:w="7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sz w:val="19"/>
              </w:rPr>
              <w:t>28 September - 3 October 2026 (registration on 28 September)</w:t>
            </w:r>
          </w:p>
        </w:tc>
      </w:tr>
      <w:tr>
        <w:tc>
          <w:tcPr>
            <w:tcW w:type="dxa" w:w="2088"/>
            <w:tcMar>
              <w:top w:w="75" w:type="dxa"/>
              <w:start w:w="110" w:type="dxa"/>
              <w:bottom w:w="75" w:type="dxa"/>
              <w:end w:w="110" w:type="dxa"/>
            </w:tcMar>
            <w:vAlign w:val="center"/>
            <w:shd w:fill="EAF2F8"/>
          </w:tcPr>
          <w:p>
            <w:r>
              <w:rPr>
                <w:rFonts w:ascii="Aptos" w:hAnsi="Aptos"/>
                <w:b/>
                <w:color w:val="17365D"/>
                <w:sz w:val="19"/>
              </w:rPr>
              <w:t>Venue</w:t>
            </w:r>
          </w:p>
        </w:tc>
        <w:tc>
          <w:tcPr>
            <w:tcW w:type="dxa" w:w="7560"/>
            <w:tcMar>
              <w:top w:w="75" w:type="dxa"/>
              <w:start w:w="110" w:type="dxa"/>
              <w:bottom w:w="7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sz w:val="19"/>
              </w:rPr>
              <w:t>China-Iceland Arctic Scientific Observatory (CIAO), Iceland</w:t>
            </w:r>
          </w:p>
        </w:tc>
      </w:tr>
      <w:tr>
        <w:tc>
          <w:tcPr>
            <w:tcW w:type="dxa" w:w="2088"/>
            <w:tcMar>
              <w:top w:w="75" w:type="dxa"/>
              <w:start w:w="110" w:type="dxa"/>
              <w:bottom w:w="75" w:type="dxa"/>
              <w:end w:w="110" w:type="dxa"/>
            </w:tcMar>
            <w:vAlign w:val="center"/>
            <w:shd w:fill="EAF2F8"/>
          </w:tcPr>
          <w:p>
            <w:r>
              <w:rPr>
                <w:rFonts w:ascii="Aptos" w:hAnsi="Aptos"/>
                <w:b/>
                <w:color w:val="17365D"/>
                <w:sz w:val="19"/>
              </w:rPr>
              <w:t>Format</w:t>
            </w:r>
          </w:p>
        </w:tc>
        <w:tc>
          <w:tcPr>
            <w:tcW w:type="dxa" w:w="7560"/>
            <w:tcMar>
              <w:top w:w="75" w:type="dxa"/>
              <w:start w:w="110" w:type="dxa"/>
              <w:bottom w:w="7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sz w:val="19"/>
              </w:rPr>
              <w:t>In person</w:t>
            </w:r>
          </w:p>
        </w:tc>
      </w:tr>
      <w:tr>
        <w:tc>
          <w:tcPr>
            <w:tcW w:type="dxa" w:w="2088"/>
            <w:tcMar>
              <w:top w:w="75" w:type="dxa"/>
              <w:start w:w="110" w:type="dxa"/>
              <w:bottom w:w="75" w:type="dxa"/>
              <w:end w:w="110" w:type="dxa"/>
            </w:tcMar>
            <w:vAlign w:val="center"/>
            <w:shd w:fill="EAF2F8"/>
          </w:tcPr>
          <w:p>
            <w:r>
              <w:rPr>
                <w:rFonts w:ascii="Aptos" w:hAnsi="Aptos"/>
                <w:b/>
                <w:color w:val="17365D"/>
                <w:sz w:val="19"/>
              </w:rPr>
              <w:t>Meeting hours</w:t>
            </w:r>
          </w:p>
        </w:tc>
        <w:tc>
          <w:tcPr>
            <w:tcW w:type="dxa" w:w="7560"/>
            <w:tcMar>
              <w:top w:w="75" w:type="dxa"/>
              <w:start w:w="110" w:type="dxa"/>
              <w:bottom w:w="7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sz w:val="19"/>
              </w:rPr>
              <w:t>Generally 10:00-16:00; lunch 12:00-13:30 (see the detailed programme)</w:t>
            </w:r>
          </w:p>
        </w:tc>
      </w:tr>
      <w:tr>
        <w:tc>
          <w:tcPr>
            <w:tcW w:type="dxa" w:w="2088"/>
            <w:tcMar>
              <w:top w:w="75" w:type="dxa"/>
              <w:start w:w="110" w:type="dxa"/>
              <w:bottom w:w="75" w:type="dxa"/>
              <w:end w:w="110" w:type="dxa"/>
            </w:tcMar>
            <w:vAlign w:val="center"/>
            <w:shd w:fill="EAF2F8"/>
          </w:tcPr>
          <w:p>
            <w:r>
              <w:rPr>
                <w:rFonts w:ascii="Aptos" w:hAnsi="Aptos"/>
                <w:b/>
                <w:color w:val="17365D"/>
                <w:sz w:val="19"/>
              </w:rPr>
              <w:t>Talk length</w:t>
            </w:r>
          </w:p>
        </w:tc>
        <w:tc>
          <w:tcPr>
            <w:tcW w:type="dxa" w:w="7560"/>
            <w:tcMar>
              <w:top w:w="75" w:type="dxa"/>
              <w:start w:w="110" w:type="dxa"/>
              <w:bottom w:w="7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sz w:val="19"/>
              </w:rPr>
              <w:t>Normally 30 minutes, except the opening ceremony, lunch, and roundtable discussion.</w:t>
            </w:r>
          </w:p>
        </w:tc>
      </w:tr>
    </w:tbl>
    <w:p>
      <w:pPr>
        <w:pStyle w:val="Heading1"/>
        <w:keepNext/>
      </w:pPr>
      <w:r>
        <w:t>Welcome</w:t>
      </w:r>
    </w:p>
    <w:p>
      <w:pPr>
        <w:spacing w:before="0" w:after="120" w:line="269" w:lineRule="auto"/>
      </w:pPr>
      <w:r>
        <w:rPr>
          <w:rFonts w:ascii="Aptos" w:hAnsi="Aptos"/>
          <w:b w:val="0"/>
          <w:i w:val="0"/>
          <w:sz w:val="21"/>
        </w:rPr>
        <w:t>We are pleased to share the second announcement and updated programme for the “Space Physics and Multi-Sphere Coupling” International Workshop. The meeting will bring together researchers working across space physics, solar-terrestrial coupling, planetary science, auroral processes, energetic particles, waves, and multi-sphere interactions. Participants are kindly asked to review the programme and make accommodation and transport arrangements as early as possible.</w:t>
      </w:r>
    </w:p>
    <w:p>
      <w:pPr>
        <w:pStyle w:val="Heading1"/>
        <w:keepNext/>
      </w:pPr>
      <w:r>
        <w:t>Overall Programme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78"/>
        <w:gridCol w:w="3278"/>
        <w:gridCol w:w="3278"/>
      </w:tblGrid>
      <w:tr>
        <w:trPr>
          <w:tblHeader w:val="true"/>
        </w:trPr>
        <w:tc>
          <w:tcPr>
            <w:tcW w:type="dxa" w:w="3096"/>
            <w:shd w:fill="17365D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Date</w:t>
            </w:r>
          </w:p>
        </w:tc>
        <w:tc>
          <w:tcPr>
            <w:tcW w:type="dxa" w:w="3528"/>
            <w:shd w:fill="17365D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Morning</w:t>
            </w:r>
          </w:p>
        </w:tc>
        <w:tc>
          <w:tcPr>
            <w:tcW w:type="dxa" w:w="3528"/>
            <w:shd w:fill="17365D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Afternoon</w:t>
            </w:r>
          </w:p>
        </w:tc>
      </w:tr>
      <w:tr>
        <w:tc>
          <w:tcPr>
            <w:tcW w:type="dxa" w:w="3096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r>
              <w:rPr>
                <w:rFonts w:ascii="Aptos" w:hAnsi="Aptos"/>
                <w:b/>
                <w:color w:val="17365D"/>
                <w:sz w:val="17"/>
              </w:rPr>
              <w:t>Monday, 28 September</w:t>
            </w:r>
          </w:p>
        </w:tc>
        <w:tc>
          <w:tcPr>
            <w:tcW w:type="dxa" w:w="3528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r>
              <w:rPr>
                <w:rFonts w:ascii="Aptos" w:hAnsi="Aptos"/>
                <w:b w:val="0"/>
                <w:sz w:val="17"/>
              </w:rPr>
              <w:t>Registration</w:t>
            </w:r>
          </w:p>
        </w:tc>
        <w:tc>
          <w:tcPr>
            <w:tcW w:type="dxa" w:w="3528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r>
              <w:rPr>
                <w:rFonts w:ascii="Aptos" w:hAnsi="Aptos"/>
                <w:b w:val="0"/>
                <w:sz w:val="17"/>
              </w:rPr>
              <w:t>Arrival and registration</w:t>
            </w:r>
          </w:p>
        </w:tc>
      </w:tr>
      <w:tr>
        <w:tc>
          <w:tcPr>
            <w:tcW w:type="dxa" w:w="3096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</w:tcPr>
          <w:p>
            <w:r>
              <w:rPr>
                <w:rFonts w:ascii="Aptos" w:hAnsi="Aptos"/>
                <w:b/>
                <w:color w:val="17365D"/>
                <w:sz w:val="17"/>
              </w:rPr>
              <w:t>Tuesday, 29 September</w:t>
            </w:r>
          </w:p>
        </w:tc>
        <w:tc>
          <w:tcPr>
            <w:tcW w:type="dxa" w:w="3528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</w:tcPr>
          <w:p>
            <w:r>
              <w:rPr>
                <w:rFonts w:ascii="Aptos" w:hAnsi="Aptos"/>
                <w:b w:val="0"/>
                <w:sz w:val="17"/>
              </w:rPr>
              <w:t>Opening ceremony and invited talks</w:t>
            </w:r>
          </w:p>
        </w:tc>
        <w:tc>
          <w:tcPr>
            <w:tcW w:type="dxa" w:w="3528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</w:tcPr>
          <w:p>
            <w:r>
              <w:rPr>
                <w:rFonts w:ascii="Aptos" w:hAnsi="Aptos"/>
                <w:b w:val="0"/>
                <w:sz w:val="17"/>
              </w:rPr>
              <w:t>Academic presentations</w:t>
            </w:r>
          </w:p>
        </w:tc>
      </w:tr>
      <w:tr>
        <w:tc>
          <w:tcPr>
            <w:tcW w:type="dxa" w:w="3096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r>
              <w:rPr>
                <w:rFonts w:ascii="Aptos" w:hAnsi="Aptos"/>
                <w:b/>
                <w:color w:val="17365D"/>
                <w:sz w:val="17"/>
              </w:rPr>
              <w:t>Wednesday, 30 September</w:t>
            </w:r>
          </w:p>
        </w:tc>
        <w:tc>
          <w:tcPr>
            <w:tcW w:type="dxa" w:w="3528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r>
              <w:rPr>
                <w:rFonts w:ascii="Aptos" w:hAnsi="Aptos"/>
                <w:b w:val="0"/>
                <w:sz w:val="17"/>
              </w:rPr>
              <w:t>Academic presentations</w:t>
            </w:r>
          </w:p>
        </w:tc>
        <w:tc>
          <w:tcPr>
            <w:tcW w:type="dxa" w:w="3528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r>
              <w:rPr>
                <w:rFonts w:ascii="Aptos" w:hAnsi="Aptos"/>
                <w:b w:val="0"/>
                <w:sz w:val="17"/>
              </w:rPr>
              <w:t>Academic presentations</w:t>
            </w:r>
          </w:p>
        </w:tc>
      </w:tr>
      <w:tr>
        <w:tc>
          <w:tcPr>
            <w:tcW w:type="dxa" w:w="3096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</w:tcPr>
          <w:p>
            <w:r>
              <w:rPr>
                <w:rFonts w:ascii="Aptos" w:hAnsi="Aptos"/>
                <w:b/>
                <w:color w:val="17365D"/>
                <w:sz w:val="17"/>
              </w:rPr>
              <w:t>Thursday, 1 October</w:t>
            </w:r>
          </w:p>
        </w:tc>
        <w:tc>
          <w:tcPr>
            <w:tcW w:type="dxa" w:w="3528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</w:tcPr>
          <w:p>
            <w:r>
              <w:rPr>
                <w:rFonts w:ascii="Aptos" w:hAnsi="Aptos"/>
                <w:b w:val="0"/>
                <w:sz w:val="17"/>
              </w:rPr>
              <w:t>Academic presentations</w:t>
            </w:r>
          </w:p>
        </w:tc>
        <w:tc>
          <w:tcPr>
            <w:tcW w:type="dxa" w:w="3528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</w:tcPr>
          <w:p>
            <w:r>
              <w:rPr>
                <w:rFonts w:ascii="Aptos" w:hAnsi="Aptos"/>
                <w:b w:val="0"/>
                <w:sz w:val="17"/>
              </w:rPr>
              <w:t>Academic presentations</w:t>
            </w:r>
          </w:p>
        </w:tc>
      </w:tr>
      <w:tr>
        <w:tc>
          <w:tcPr>
            <w:tcW w:type="dxa" w:w="3096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r>
              <w:rPr>
                <w:rFonts w:ascii="Aptos" w:hAnsi="Aptos"/>
                <w:b/>
                <w:color w:val="17365D"/>
                <w:sz w:val="17"/>
              </w:rPr>
              <w:t>Friday, 2 October</w:t>
            </w:r>
          </w:p>
        </w:tc>
        <w:tc>
          <w:tcPr>
            <w:tcW w:type="dxa" w:w="3528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r>
              <w:rPr>
                <w:rFonts w:ascii="Aptos" w:hAnsi="Aptos"/>
                <w:b w:val="0"/>
                <w:sz w:val="17"/>
              </w:rPr>
              <w:t>Academic presentations</w:t>
            </w:r>
          </w:p>
        </w:tc>
        <w:tc>
          <w:tcPr>
            <w:tcW w:type="dxa" w:w="3528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r>
              <w:rPr>
                <w:rFonts w:ascii="Aptos" w:hAnsi="Aptos"/>
                <w:b w:val="0"/>
                <w:sz w:val="17"/>
              </w:rPr>
              <w:t>Academic presentations</w:t>
            </w:r>
          </w:p>
        </w:tc>
      </w:tr>
      <w:tr>
        <w:tc>
          <w:tcPr>
            <w:tcW w:type="dxa" w:w="3096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</w:tcPr>
          <w:p>
            <w:r>
              <w:rPr>
                <w:rFonts w:ascii="Aptos" w:hAnsi="Aptos"/>
                <w:b/>
                <w:color w:val="17365D"/>
                <w:sz w:val="17"/>
              </w:rPr>
              <w:t>Saturday, 3 October</w:t>
            </w:r>
          </w:p>
        </w:tc>
        <w:tc>
          <w:tcPr>
            <w:tcW w:type="dxa" w:w="3528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</w:tcPr>
          <w:p>
            <w:r>
              <w:rPr>
                <w:rFonts w:ascii="Aptos" w:hAnsi="Aptos"/>
                <w:b w:val="0"/>
                <w:sz w:val="17"/>
              </w:rPr>
              <w:t>Roundtable discussion</w:t>
            </w:r>
          </w:p>
        </w:tc>
        <w:tc>
          <w:tcPr>
            <w:tcW w:type="dxa" w:w="3528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</w:tcPr>
          <w:p>
            <w:r>
              <w:rPr>
                <w:rFonts w:ascii="Aptos" w:hAnsi="Aptos"/>
                <w:b w:val="0"/>
                <w:sz w:val="17"/>
              </w:rPr>
              <w:t>Scientific presentations</w:t>
            </w:r>
          </w:p>
        </w:tc>
      </w:tr>
    </w:tbl>
    <w:p>
      <w:pPr>
        <w:pStyle w:val="Heading1"/>
        <w:keepNext/>
      </w:pPr>
      <w:r>
        <w:t>Accommodation</w:t>
      </w:r>
    </w:p>
    <w:p>
      <w:pPr>
        <w:spacing w:before="0" w:after="120" w:line="269" w:lineRule="auto"/>
      </w:pPr>
      <w:r>
        <w:rPr>
          <w:rFonts w:ascii="Aptos" w:hAnsi="Aptos"/>
          <w:b w:val="0"/>
          <w:i w:val="0"/>
          <w:sz w:val="21"/>
        </w:rPr>
        <w:t>Accommodation is available either close to CIAO or in Akureyri. Rates below are indicative only and may vary substantially by date and booking platform. Early booking is strongly recommended.</w:t>
      </w:r>
    </w:p>
    <w:p>
      <w:pPr>
        <w:pStyle w:val="Heading2"/>
        <w:keepNext/>
      </w:pPr>
      <w:r>
        <w:t>Near CIAO</w:t>
      </w:r>
    </w:p>
    <w:p>
      <w:pPr>
        <w:pStyle w:val="ListBullet"/>
        <w:spacing w:after="80" w:line="264" w:lineRule="auto"/>
      </w:pPr>
      <w:r>
        <w:rPr>
          <w:rFonts w:ascii="Aptos" w:hAnsi="Aptos"/>
          <w:b/>
          <w:color w:val="17365D"/>
          <w:sz w:val="20"/>
        </w:rPr>
        <w:t xml:space="preserve">Narfastadir Guesthouse — </w:t>
      </w:r>
      <w:r>
        <w:rPr>
          <w:rFonts w:ascii="Aptos" w:hAnsi="Aptos"/>
          <w:sz w:val="20"/>
        </w:rPr>
        <w:t>approximately USD 200-250 per room per night; Narfastaðir, 650 Laugar; about 3.9 km from CIAO.</w:t>
      </w:r>
    </w:p>
    <w:p>
      <w:pPr>
        <w:keepNext/>
        <w:spacing w:before="60" w:after="40"/>
        <w:jc w:val="center"/>
      </w:pPr>
      <w:r>
        <w:drawing>
          <wp:inline xmlns:a="http://schemas.openxmlformats.org/drawingml/2006/main" xmlns:pic="http://schemas.openxmlformats.org/drawingml/2006/picture">
            <wp:extent cx="3246120" cy="448359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46120" cy="44835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140" w:line="269" w:lineRule="auto"/>
        <w:jc w:val="center"/>
      </w:pPr>
      <w:r>
        <w:rPr>
          <w:rFonts w:ascii="Aptos" w:hAnsi="Aptos"/>
          <w:b w:val="0"/>
          <w:i/>
          <w:color w:val="5B6573"/>
          <w:sz w:val="17"/>
        </w:rPr>
        <w:t>Driving route between Narfastadir Guesthouse and CIAO (approximately 3.9-4.0 km).</w:t>
      </w:r>
    </w:p>
    <w:p>
      <w:pPr>
        <w:pStyle w:val="ListBullet"/>
        <w:spacing w:after="80" w:line="264" w:lineRule="auto"/>
      </w:pPr>
      <w:r>
        <w:rPr>
          <w:rFonts w:ascii="Aptos" w:hAnsi="Aptos"/>
          <w:b/>
          <w:color w:val="17365D"/>
          <w:sz w:val="20"/>
        </w:rPr>
        <w:t xml:space="preserve">Aurora Farm Hotel — </w:t>
      </w:r>
      <w:r>
        <w:rPr>
          <w:rFonts w:ascii="Aptos" w:hAnsi="Aptos"/>
          <w:sz w:val="20"/>
        </w:rPr>
        <w:t>approximately USD 350-400 per room per night; Storu Laugar, 650 Laugar; about 3.6 km from CIAO.</w:t>
      </w:r>
    </w:p>
    <w:p>
      <w:pPr>
        <w:keepNext/>
        <w:spacing w:before="60" w:after="40"/>
        <w:jc w:val="center"/>
      </w:pPr>
      <w:r>
        <w:drawing>
          <wp:inline xmlns:a="http://schemas.openxmlformats.org/drawingml/2006/main" xmlns:pic="http://schemas.openxmlformats.org/drawingml/2006/picture">
            <wp:extent cx="3886200" cy="383506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83506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140" w:line="269" w:lineRule="auto"/>
        <w:jc w:val="center"/>
      </w:pPr>
      <w:r>
        <w:rPr>
          <w:rFonts w:ascii="Aptos" w:hAnsi="Aptos"/>
          <w:b w:val="0"/>
          <w:i/>
          <w:color w:val="5B6573"/>
          <w:sz w:val="17"/>
        </w:rPr>
        <w:t>Location of Aurora Farm Hotel near Laugar and CIAO.</w:t>
      </w:r>
    </w:p>
    <w:p>
      <w:pPr>
        <w:pStyle w:val="Heading2"/>
        <w:keepNext/>
      </w:pPr>
      <w:r>
        <w:t>In Akureyri</w:t>
      </w:r>
    </w:p>
    <w:p>
      <w:pPr>
        <w:pStyle w:val="ListBullet"/>
        <w:spacing w:after="80" w:line="264" w:lineRule="auto"/>
      </w:pPr>
      <w:r>
        <w:rPr>
          <w:rFonts w:ascii="Aptos" w:hAnsi="Aptos"/>
          <w:b/>
          <w:color w:val="17365D"/>
          <w:sz w:val="20"/>
        </w:rPr>
        <w:t xml:space="preserve">Hotel Kea by Keahotels — </w:t>
      </w:r>
      <w:r>
        <w:rPr>
          <w:rFonts w:ascii="Aptos" w:hAnsi="Aptos"/>
          <w:sz w:val="20"/>
        </w:rPr>
        <w:t>approximately USD 300-350 per room per night; Hafnarstræti 87-89, 600 Akureyri.</w:t>
      </w:r>
    </w:p>
    <w:p>
      <w:pPr>
        <w:pStyle w:val="ListBullet"/>
        <w:spacing w:after="80" w:line="264" w:lineRule="auto"/>
      </w:pPr>
      <w:r>
        <w:rPr>
          <w:rFonts w:ascii="Aptos" w:hAnsi="Aptos"/>
          <w:b/>
          <w:color w:val="17365D"/>
          <w:sz w:val="20"/>
        </w:rPr>
        <w:t xml:space="preserve">Hotel Norðurland — </w:t>
      </w:r>
      <w:r>
        <w:rPr>
          <w:rFonts w:ascii="Aptos" w:hAnsi="Aptos"/>
          <w:sz w:val="20"/>
        </w:rPr>
        <w:t>approximately USD 250-320 per room per night; Geislagata 7A, 600 Akureyri.</w:t>
      </w:r>
    </w:p>
    <w:p>
      <w:pPr>
        <w:spacing w:before="0" w:after="120" w:line="269" w:lineRule="auto"/>
      </w:pPr>
      <w:r>
        <w:rPr>
          <w:rFonts w:ascii="Aptos" w:hAnsi="Aptos"/>
          <w:b w:val="0"/>
          <w:i w:val="0"/>
          <w:color w:val="5B6573"/>
          <w:sz w:val="19"/>
        </w:rPr>
        <w:t>Akureyri is approximately 60 km from CIAO. Additional accommodation options and current prices may be found through major booking platforms.</w:t>
      </w:r>
    </w:p>
    <w:p>
      <w:pPr>
        <w:keepNext/>
        <w:spacing w:before="60" w:after="40"/>
        <w:jc w:val="center"/>
      </w:pPr>
      <w:r>
        <w:drawing>
          <wp:inline xmlns:a="http://schemas.openxmlformats.org/drawingml/2006/main" xmlns:pic="http://schemas.openxmlformats.org/drawingml/2006/picture">
            <wp:extent cx="5806440" cy="323396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23396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140" w:line="269" w:lineRule="auto"/>
        <w:jc w:val="center"/>
      </w:pPr>
      <w:r>
        <w:rPr>
          <w:rFonts w:ascii="Aptos" w:hAnsi="Aptos"/>
          <w:b w:val="0"/>
          <w:i/>
          <w:color w:val="5B6573"/>
          <w:sz w:val="17"/>
        </w:rPr>
        <w:t>Driving route between Akureyri and CIAO (approximately 60-65 km).</w:t>
      </w:r>
    </w:p>
    <w:p>
      <w:pPr>
        <w:pStyle w:val="Heading1"/>
        <w:keepNext/>
      </w:pPr>
      <w:r>
        <w:t>Travel and Transportation</w:t>
      </w:r>
    </w:p>
    <w:p>
      <w:pPr>
        <w:pStyle w:val="ListBullet"/>
        <w:spacing w:after="80" w:line="264" w:lineRule="auto"/>
      </w:pPr>
      <w:r>
        <w:rPr>
          <w:rFonts w:ascii="Aptos" w:hAnsi="Aptos"/>
          <w:b/>
          <w:color w:val="17365D"/>
          <w:sz w:val="20"/>
        </w:rPr>
        <w:t xml:space="preserve">Participants staying in Akureyri: </w:t>
      </w:r>
      <w:r>
        <w:rPr>
          <w:rFonts w:ascii="Aptos" w:hAnsi="Aptos"/>
          <w:sz w:val="20"/>
        </w:rPr>
        <w:t>the organizers will arrange a coach between Akureyri and CIAO during the workshop. The boarding point and daily timetable will be circulated separately.</w:t>
      </w:r>
    </w:p>
    <w:p>
      <w:pPr>
        <w:pStyle w:val="ListBullet"/>
        <w:spacing w:after="80" w:line="264" w:lineRule="auto"/>
      </w:pPr>
      <w:r>
        <w:rPr>
          <w:rFonts w:ascii="Aptos" w:hAnsi="Aptos"/>
          <w:b/>
          <w:color w:val="17365D"/>
          <w:sz w:val="20"/>
        </w:rPr>
        <w:t xml:space="preserve">Participants staying near CIAO: </w:t>
      </w:r>
      <w:r>
        <w:rPr>
          <w:rFonts w:ascii="Aptos" w:hAnsi="Aptos"/>
          <w:sz w:val="20"/>
        </w:rPr>
        <w:t>we recommend that several participants share a rental car. The nearby guesthouses are only a few minutes from the observatory by car. If needed, please contact the organizing team in advance to request a short local pickup, subject to availability.</w:t>
      </w:r>
    </w:p>
    <w:p>
      <w:pPr>
        <w:pStyle w:val="ListBullet"/>
        <w:spacing w:after="80" w:line="264" w:lineRule="auto"/>
      </w:pPr>
      <w:r>
        <w:rPr>
          <w:rFonts w:ascii="Aptos" w:hAnsi="Aptos"/>
          <w:b/>
          <w:color w:val="17365D"/>
          <w:sz w:val="20"/>
        </w:rPr>
        <w:t xml:space="preserve">General advice: </w:t>
      </w:r>
      <w:r>
        <w:rPr>
          <w:rFonts w:ascii="Aptos" w:hAnsi="Aptos"/>
          <w:sz w:val="20"/>
        </w:rPr>
        <w:t>public transport in Iceland is limited, particularly in the area around CIAO. Renting a car is generally the most convenient and flexible option. Participants who drive should check road and weather conditions and choose a vehicle appropriate for the season.</w:t>
      </w:r>
    </w:p>
    <w:p>
      <w:pPr>
        <w:pStyle w:val="Heading1"/>
        <w:keepNext/>
      </w:pPr>
      <w:r>
        <w:t>Important Notes</w:t>
      </w:r>
    </w:p>
    <w:p>
      <w:pPr>
        <w:pStyle w:val="ListBullet"/>
        <w:spacing w:after="80" w:line="264" w:lineRule="auto"/>
      </w:pPr>
      <w:r>
        <w:rPr>
          <w:rFonts w:ascii="Aptos" w:hAnsi="Aptos"/>
          <w:b/>
          <w:color w:val="17365D"/>
          <w:sz w:val="20"/>
        </w:rPr>
        <w:t xml:space="preserve">Programme updates: </w:t>
      </w:r>
      <w:r>
        <w:rPr>
          <w:rFonts w:ascii="Aptos" w:hAnsi="Aptos"/>
          <w:sz w:val="20"/>
        </w:rPr>
        <w:t>minor changes may be made to the timetable. Any revisions and practical details will be circulated by the organizing team.</w:t>
      </w:r>
    </w:p>
    <w:p>
      <w:pPr>
        <w:pStyle w:val="ListBullet"/>
        <w:spacing w:after="80" w:line="264" w:lineRule="auto"/>
      </w:pPr>
      <w:r>
        <w:rPr>
          <w:rFonts w:ascii="Aptos" w:hAnsi="Aptos"/>
          <w:b/>
          <w:color w:val="17365D"/>
          <w:sz w:val="20"/>
        </w:rPr>
        <w:t xml:space="preserve">Advance coordination: </w:t>
      </w:r>
      <w:r>
        <w:rPr>
          <w:rFonts w:ascii="Aptos" w:hAnsi="Aptos"/>
          <w:sz w:val="20"/>
        </w:rPr>
        <w:t>participants requesting a local pickup or intending to use the Akureyri coach should share their accommodation and arrival details with the organizing team when requested.</w:t>
      </w:r>
    </w:p>
    <w:p>
      <w:pPr>
        <w:pStyle w:val="ListBullet"/>
        <w:spacing w:after="80" w:line="264" w:lineRule="auto"/>
      </w:pPr>
      <w:r>
        <w:rPr>
          <w:rFonts w:ascii="Aptos" w:hAnsi="Aptos"/>
          <w:b/>
          <w:color w:val="17365D"/>
          <w:sz w:val="20"/>
        </w:rPr>
        <w:t xml:space="preserve">Weather and roads: </w:t>
      </w:r>
      <w:r>
        <w:rPr>
          <w:rFonts w:ascii="Aptos" w:hAnsi="Aptos"/>
          <w:sz w:val="20"/>
        </w:rPr>
        <w:t>late September and early October conditions in northern Iceland can change quickly. Please allow sufficient travel time and carry suitable clothing.</w:t>
      </w:r>
    </w:p>
    <w:p>
      <w:r>
        <w:br w:type="page"/>
      </w:r>
    </w:p>
    <w:p>
      <w:pPr>
        <w:spacing w:before="0" w:after="60" w:line="269" w:lineRule="auto"/>
        <w:jc w:val="center"/>
      </w:pPr>
      <w:r>
        <w:rPr>
          <w:rFonts w:ascii="Aptos" w:hAnsi="Aptos"/>
          <w:b/>
          <w:i w:val="0"/>
          <w:color w:val="C89B3C"/>
          <w:sz w:val="19"/>
        </w:rPr>
        <w:t>DETAILED SCIENTIFIC PROGRAMME</w:t>
      </w:r>
    </w:p>
    <w:p>
      <w:pPr>
        <w:spacing w:before="0" w:after="240" w:line="269" w:lineRule="auto"/>
        <w:jc w:val="center"/>
      </w:pPr>
      <w:r>
        <w:rPr>
          <w:rFonts w:ascii="Aptos" w:hAnsi="Aptos"/>
          <w:b/>
          <w:i w:val="0"/>
          <w:color w:val="17365D"/>
          <w:sz w:val="44"/>
        </w:rPr>
        <w:t>ISSPMC 2026</w:t>
      </w:r>
    </w:p>
    <w:p>
      <w:pPr>
        <w:pStyle w:val="Heading1"/>
        <w:keepNext/>
      </w:pPr>
      <w:r>
        <w:t>Tuesday, 29 September 2026</w:t>
      </w:r>
    </w:p>
    <w:p>
      <w:pPr>
        <w:spacing w:before="0" w:after="160" w:line="269" w:lineRule="auto"/>
      </w:pPr>
      <w:r>
        <w:rPr>
          <w:rFonts w:ascii="Aptos" w:hAnsi="Aptos"/>
          <w:b w:val="0"/>
          <w:i w:val="0"/>
          <w:color w:val="5B6573"/>
          <w:sz w:val="19"/>
        </w:rPr>
        <w:t>Opening ceremony from 10:00 to 11:00, followed by academic presentations.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67"/>
        <w:gridCol w:w="1967"/>
        <w:gridCol w:w="1967"/>
        <w:gridCol w:w="1967"/>
        <w:gridCol w:w="1967"/>
      </w:tblGrid>
      <w:tr>
        <w:trPr>
          <w:tblHeader w:val="true"/>
        </w:trPr>
        <w:tc>
          <w:tcPr>
            <w:tcW w:type="dxa" w:w="1325"/>
            <w:shd w:fill="17365D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Time</w:t>
            </w:r>
          </w:p>
        </w:tc>
        <w:tc>
          <w:tcPr>
            <w:tcW w:type="dxa" w:w="1872"/>
            <w:shd w:fill="17365D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Name</w:t>
            </w:r>
          </w:p>
        </w:tc>
        <w:tc>
          <w:tcPr>
            <w:tcW w:type="dxa" w:w="1843"/>
            <w:shd w:fill="17365D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Title</w:t>
            </w:r>
          </w:p>
        </w:tc>
        <w:tc>
          <w:tcPr>
            <w:tcW w:type="dxa" w:w="2275"/>
            <w:shd w:fill="17365D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Affiliation</w:t>
            </w:r>
          </w:p>
        </w:tc>
        <w:tc>
          <w:tcPr>
            <w:tcW w:type="dxa" w:w="2880"/>
            <w:shd w:fill="17365D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Presentation Title</w:t>
            </w:r>
          </w:p>
        </w:tc>
      </w:tr>
      <w:tr>
        <w:tc>
          <w:tcPr>
            <w:tcW w:type="dxa" w:w="132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10:00-11:00</w:t>
            </w:r>
          </w:p>
        </w:tc>
        <w:tc>
          <w:tcPr>
            <w:tcW w:type="dxa" w:w="1872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Opening ceremony</w:t>
            </w:r>
          </w:p>
        </w:tc>
        <w:tc>
          <w:tcPr>
            <w:tcW w:type="dxa" w:w="1843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</w:r>
          </w:p>
        </w:tc>
        <w:tc>
          <w:tcPr>
            <w:tcW w:type="dxa" w:w="227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</w:r>
          </w:p>
        </w:tc>
        <w:tc>
          <w:tcPr>
            <w:tcW w:type="dxa" w:w="2880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</w:r>
          </w:p>
        </w:tc>
      </w:tr>
      <w:tr>
        <w:tc>
          <w:tcPr>
            <w:tcW w:type="dxa" w:w="132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11:00-11:30</w:t>
            </w:r>
          </w:p>
        </w:tc>
        <w:tc>
          <w:tcPr>
            <w:tcW w:type="dxa" w:w="1872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Qiugang Zong</w:t>
            </w:r>
          </w:p>
        </w:tc>
        <w:tc>
          <w:tcPr>
            <w:tcW w:type="dxa" w:w="1843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Professor / Director</w:t>
            </w:r>
          </w:p>
        </w:tc>
        <w:tc>
          <w:tcPr>
            <w:tcW w:type="dxa" w:w="227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State Key Laboratory of Lunar and Planetary Sciences, Macau University of Science and Technology</w:t>
            </w:r>
          </w:p>
        </w:tc>
        <w:tc>
          <w:tcPr>
            <w:tcW w:type="dxa" w:w="2880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Acceleration, transport, and detection of energetic particles in solar-terrestrial space</w:t>
            </w:r>
          </w:p>
        </w:tc>
      </w:tr>
      <w:tr>
        <w:tc>
          <w:tcPr>
            <w:tcW w:type="dxa" w:w="132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11:30-12:00</w:t>
            </w:r>
          </w:p>
        </w:tc>
        <w:tc>
          <w:tcPr>
            <w:tcW w:type="dxa" w:w="1872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Sami Solanki</w:t>
            </w:r>
          </w:p>
        </w:tc>
        <w:tc>
          <w:tcPr>
            <w:tcW w:type="dxa" w:w="1843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Professor</w:t>
            </w:r>
          </w:p>
        </w:tc>
        <w:tc>
          <w:tcPr>
            <w:tcW w:type="dxa" w:w="227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Max Planck Institute for Solar System Research (MPS)</w:t>
            </w:r>
          </w:p>
        </w:tc>
        <w:tc>
          <w:tcPr>
            <w:tcW w:type="dxa" w:w="2880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New results from Solar Orbiter</w:t>
            </w:r>
          </w:p>
        </w:tc>
      </w:tr>
      <w:tr>
        <w:tc>
          <w:tcPr>
            <w:tcW w:type="dxa" w:w="132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12:00-13:30</w:t>
            </w:r>
          </w:p>
        </w:tc>
        <w:tc>
          <w:tcPr>
            <w:tcW w:type="dxa" w:w="1872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Lunch</w:t>
            </w:r>
          </w:p>
        </w:tc>
        <w:tc>
          <w:tcPr>
            <w:tcW w:type="dxa" w:w="1843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</w:r>
          </w:p>
        </w:tc>
        <w:tc>
          <w:tcPr>
            <w:tcW w:type="dxa" w:w="227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</w:r>
          </w:p>
        </w:tc>
        <w:tc>
          <w:tcPr>
            <w:tcW w:type="dxa" w:w="2880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</w:r>
          </w:p>
        </w:tc>
      </w:tr>
      <w:tr>
        <w:tc>
          <w:tcPr>
            <w:tcW w:type="dxa" w:w="132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13:30-14:00</w:t>
            </w:r>
          </w:p>
        </w:tc>
        <w:tc>
          <w:tcPr>
            <w:tcW w:type="dxa" w:w="1872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Sheng Yu</w:t>
            </w:r>
          </w:p>
        </w:tc>
        <w:tc>
          <w:tcPr>
            <w:tcW w:type="dxa" w:w="1843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Professor</w:t>
            </w:r>
          </w:p>
        </w:tc>
        <w:tc>
          <w:tcPr>
            <w:tcW w:type="dxa" w:w="227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University of Chinese Academy of Sciences</w:t>
            </w:r>
          </w:p>
        </w:tc>
        <w:tc>
          <w:tcPr>
            <w:tcW w:type="dxa" w:w="2880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Interstellar Travel: Today and Tomorrow</w:t>
            </w:r>
          </w:p>
        </w:tc>
      </w:tr>
      <w:tr>
        <w:tc>
          <w:tcPr>
            <w:tcW w:type="dxa" w:w="132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14:00-14:30</w:t>
            </w:r>
          </w:p>
        </w:tc>
        <w:tc>
          <w:tcPr>
            <w:tcW w:type="dxa" w:w="1872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Robert Rankin</w:t>
            </w:r>
          </w:p>
        </w:tc>
        <w:tc>
          <w:tcPr>
            <w:tcW w:type="dxa" w:w="1843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Professor</w:t>
            </w:r>
          </w:p>
        </w:tc>
        <w:tc>
          <w:tcPr>
            <w:tcW w:type="dxa" w:w="227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University of Alberta</w:t>
            </w:r>
          </w:p>
        </w:tc>
        <w:tc>
          <w:tcPr>
            <w:tcW w:type="dxa" w:w="2880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The Ionospheric Feedback Instability: Thin or Thick?</w:t>
            </w:r>
          </w:p>
        </w:tc>
      </w:tr>
      <w:tr>
        <w:tc>
          <w:tcPr>
            <w:tcW w:type="dxa" w:w="132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14:30-15:00</w:t>
            </w:r>
          </w:p>
        </w:tc>
        <w:tc>
          <w:tcPr>
            <w:tcW w:type="dxa" w:w="1872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Jie Ren</w:t>
            </w:r>
          </w:p>
        </w:tc>
        <w:tc>
          <w:tcPr>
            <w:tcW w:type="dxa" w:w="1843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Professor</w:t>
            </w:r>
          </w:p>
        </w:tc>
        <w:tc>
          <w:tcPr>
            <w:tcW w:type="dxa" w:w="227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China University of Geosciences (Beijing)</w:t>
            </w:r>
          </w:p>
        </w:tc>
        <w:tc>
          <w:tcPr>
            <w:tcW w:type="dxa" w:w="2880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Surface waves at the boundary of the plasmasphere and their effects on auroras</w:t>
            </w:r>
          </w:p>
        </w:tc>
      </w:tr>
      <w:tr>
        <w:tc>
          <w:tcPr>
            <w:tcW w:type="dxa" w:w="132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15:00-15:30</w:t>
            </w:r>
          </w:p>
        </w:tc>
        <w:tc>
          <w:tcPr>
            <w:tcW w:type="dxa" w:w="1872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Lin Yang</w:t>
            </w:r>
          </w:p>
        </w:tc>
        <w:tc>
          <w:tcPr>
            <w:tcW w:type="dxa" w:w="1843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Professor</w:t>
            </w:r>
          </w:p>
        </w:tc>
        <w:tc>
          <w:tcPr>
            <w:tcW w:type="dxa" w:w="227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Shandong University</w:t>
            </w:r>
          </w:p>
        </w:tc>
        <w:tc>
          <w:tcPr>
            <w:tcW w:type="dxa" w:w="2880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Computational Spectral Imager for Auroral Observation</w:t>
            </w:r>
          </w:p>
        </w:tc>
      </w:tr>
      <w:tr>
        <w:tc>
          <w:tcPr>
            <w:tcW w:type="dxa" w:w="132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15:30-16:00</w:t>
            </w:r>
          </w:p>
        </w:tc>
        <w:tc>
          <w:tcPr>
            <w:tcW w:type="dxa" w:w="1872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Kairui Tai</w:t>
            </w:r>
          </w:p>
        </w:tc>
        <w:tc>
          <w:tcPr>
            <w:tcW w:type="dxa" w:w="1843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Postdoc</w:t>
            </w:r>
          </w:p>
        </w:tc>
        <w:tc>
          <w:tcPr>
            <w:tcW w:type="dxa" w:w="227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Chengdu University of Technology</w:t>
            </w:r>
          </w:p>
        </w:tc>
        <w:tc>
          <w:tcPr>
            <w:tcW w:type="dxa" w:w="2880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Shock effects on iron-rich olivine and pyroxene: implications for impact-driven multi-sphere coupling on Mars and its moons</w:t>
            </w:r>
          </w:p>
        </w:tc>
      </w:tr>
      <w:tr>
        <w:tc>
          <w:tcPr>
            <w:tcW w:type="dxa" w:w="132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16:00-16:30</w:t>
            </w:r>
          </w:p>
        </w:tc>
        <w:tc>
          <w:tcPr>
            <w:tcW w:type="dxa" w:w="1872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Xiangyu Wang</w:t>
            </w:r>
          </w:p>
        </w:tc>
        <w:tc>
          <w:tcPr>
            <w:tcW w:type="dxa" w:w="1843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Postdoc</w:t>
            </w:r>
          </w:p>
        </w:tc>
        <w:tc>
          <w:tcPr>
            <w:tcW w:type="dxa" w:w="227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National Space Science Center, Chinese Academy of Sciences</w:t>
            </w:r>
          </w:p>
        </w:tc>
        <w:tc>
          <w:tcPr>
            <w:tcW w:type="dxa" w:w="2880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Influence of the twisted magnetospheric tail on the horse-collar aurora under strongly northward oblique interplanetary magnetic field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Wednesday, 30 September 2026</w:t>
      </w:r>
    </w:p>
    <w:p>
      <w:pPr>
        <w:spacing w:before="0" w:after="160" w:line="269" w:lineRule="auto"/>
      </w:pPr>
      <w:r>
        <w:rPr>
          <w:rFonts w:ascii="Aptos" w:hAnsi="Aptos"/>
          <w:b w:val="0"/>
          <w:i w:val="0"/>
          <w:color w:val="5B6573"/>
          <w:sz w:val="19"/>
        </w:rPr>
        <w:t>Academic presentations throughout the day.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67"/>
        <w:gridCol w:w="1967"/>
        <w:gridCol w:w="1967"/>
        <w:gridCol w:w="1967"/>
        <w:gridCol w:w="1967"/>
      </w:tblGrid>
      <w:tr>
        <w:trPr>
          <w:tblHeader w:val="true"/>
        </w:trPr>
        <w:tc>
          <w:tcPr>
            <w:tcW w:type="dxa" w:w="1325"/>
            <w:shd w:fill="17365D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Time</w:t>
            </w:r>
          </w:p>
        </w:tc>
        <w:tc>
          <w:tcPr>
            <w:tcW w:type="dxa" w:w="1872"/>
            <w:shd w:fill="17365D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Name</w:t>
            </w:r>
          </w:p>
        </w:tc>
        <w:tc>
          <w:tcPr>
            <w:tcW w:type="dxa" w:w="1843"/>
            <w:shd w:fill="17365D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Title</w:t>
            </w:r>
          </w:p>
        </w:tc>
        <w:tc>
          <w:tcPr>
            <w:tcW w:type="dxa" w:w="2275"/>
            <w:shd w:fill="17365D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Affiliation</w:t>
            </w:r>
          </w:p>
        </w:tc>
        <w:tc>
          <w:tcPr>
            <w:tcW w:type="dxa" w:w="2880"/>
            <w:shd w:fill="17365D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Presentation Title</w:t>
            </w:r>
          </w:p>
        </w:tc>
      </w:tr>
      <w:tr>
        <w:tc>
          <w:tcPr>
            <w:tcW w:type="dxa" w:w="132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10:00-10:30</w:t>
            </w:r>
          </w:p>
        </w:tc>
        <w:tc>
          <w:tcPr>
            <w:tcW w:type="dxa" w:w="1872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Kai Fan</w:t>
            </w:r>
          </w:p>
        </w:tc>
        <w:tc>
          <w:tcPr>
            <w:tcW w:type="dxa" w:w="1843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Professor</w:t>
            </w:r>
          </w:p>
        </w:tc>
        <w:tc>
          <w:tcPr>
            <w:tcW w:type="dxa" w:w="227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Institute of Geology and Geophysics, Chinese Academy of Sciences</w:t>
            </w:r>
          </w:p>
        </w:tc>
        <w:tc>
          <w:tcPr>
            <w:tcW w:type="dxa" w:w="2880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Dawn-Dusk Asymmetry of Oxygen Ion Loss Above Martian Crustal Magnetic Fields</w:t>
            </w:r>
          </w:p>
        </w:tc>
      </w:tr>
      <w:tr>
        <w:tc>
          <w:tcPr>
            <w:tcW w:type="dxa" w:w="132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10:30-11:00</w:t>
            </w:r>
          </w:p>
        </w:tc>
        <w:tc>
          <w:tcPr>
            <w:tcW w:type="dxa" w:w="1872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Yijia Zhou</w:t>
            </w:r>
          </w:p>
        </w:tc>
        <w:tc>
          <w:tcPr>
            <w:tcW w:type="dxa" w:w="1843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Assistant Researcher</w:t>
            </w:r>
          </w:p>
        </w:tc>
        <w:tc>
          <w:tcPr>
            <w:tcW w:type="dxa" w:w="227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Shandong University</w:t>
            </w:r>
          </w:p>
        </w:tc>
        <w:tc>
          <w:tcPr>
            <w:tcW w:type="dxa" w:w="2880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Giant Undulations Driven by Pitch-Angle Scattering of Time Domain Structures Modulated by Plasmapause Surface Wave</w:t>
            </w:r>
          </w:p>
        </w:tc>
      </w:tr>
      <w:tr>
        <w:tc>
          <w:tcPr>
            <w:tcW w:type="dxa" w:w="132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11:00-11:30</w:t>
            </w:r>
          </w:p>
        </w:tc>
        <w:tc>
          <w:tcPr>
            <w:tcW w:type="dxa" w:w="1872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Xinhua Zhao</w:t>
            </w:r>
          </w:p>
        </w:tc>
        <w:tc>
          <w:tcPr>
            <w:tcW w:type="dxa" w:w="1843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Professor</w:t>
            </w:r>
          </w:p>
        </w:tc>
        <w:tc>
          <w:tcPr>
            <w:tcW w:type="dxa" w:w="227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National Space Science Center, Chinese Academy of Sciences</w:t>
            </w:r>
          </w:p>
        </w:tc>
        <w:tc>
          <w:tcPr>
            <w:tcW w:type="dxa" w:w="2880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Investigation of the differential rotation of the solar atmosphere based on multi-wavelength observations</w:t>
            </w:r>
          </w:p>
        </w:tc>
      </w:tr>
      <w:tr>
        <w:tc>
          <w:tcPr>
            <w:tcW w:type="dxa" w:w="132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11:30-12:00</w:t>
            </w:r>
          </w:p>
        </w:tc>
        <w:tc>
          <w:tcPr>
            <w:tcW w:type="dxa" w:w="1872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Feng Zhao</w:t>
            </w:r>
          </w:p>
        </w:tc>
        <w:tc>
          <w:tcPr>
            <w:tcW w:type="dxa" w:w="1843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Researcher</w:t>
            </w:r>
          </w:p>
        </w:tc>
        <w:tc>
          <w:tcPr>
            <w:tcW w:type="dxa" w:w="227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Shandong University of Science and Technology</w:t>
            </w:r>
          </w:p>
        </w:tc>
        <w:tc>
          <w:tcPr>
            <w:tcW w:type="dxa" w:w="2880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Mass budget of Antarctica from GRACE time-varying gravity observations</w:t>
            </w:r>
          </w:p>
        </w:tc>
      </w:tr>
      <w:tr>
        <w:tc>
          <w:tcPr>
            <w:tcW w:type="dxa" w:w="132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12:00-13:30</w:t>
            </w:r>
          </w:p>
        </w:tc>
        <w:tc>
          <w:tcPr>
            <w:tcW w:type="dxa" w:w="1872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Lunch</w:t>
            </w:r>
          </w:p>
        </w:tc>
        <w:tc>
          <w:tcPr>
            <w:tcW w:type="dxa" w:w="1843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</w:r>
          </w:p>
        </w:tc>
        <w:tc>
          <w:tcPr>
            <w:tcW w:type="dxa" w:w="227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</w:r>
          </w:p>
        </w:tc>
        <w:tc>
          <w:tcPr>
            <w:tcW w:type="dxa" w:w="2880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</w:r>
          </w:p>
        </w:tc>
      </w:tr>
      <w:tr>
        <w:tc>
          <w:tcPr>
            <w:tcW w:type="dxa" w:w="132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13:30-14:00</w:t>
            </w:r>
          </w:p>
        </w:tc>
        <w:tc>
          <w:tcPr>
            <w:tcW w:type="dxa" w:w="1872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Si Chen</w:t>
            </w:r>
          </w:p>
        </w:tc>
        <w:tc>
          <w:tcPr>
            <w:tcW w:type="dxa" w:w="1843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Researcher</w:t>
            </w:r>
          </w:p>
        </w:tc>
        <w:tc>
          <w:tcPr>
            <w:tcW w:type="dxa" w:w="227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Institute of Geology and Geophysics, Chinese Academy of Sciences</w:t>
            </w:r>
          </w:p>
        </w:tc>
        <w:tc>
          <w:tcPr>
            <w:tcW w:type="dxa" w:w="2880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Variations of geomagnetic activity under extreme events with ancient aurora records</w:t>
            </w:r>
          </w:p>
        </w:tc>
      </w:tr>
      <w:tr>
        <w:tc>
          <w:tcPr>
            <w:tcW w:type="dxa" w:w="132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14:00-14:30</w:t>
            </w:r>
          </w:p>
        </w:tc>
        <w:tc>
          <w:tcPr>
            <w:tcW w:type="dxa" w:w="1872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Yao Chen</w:t>
            </w:r>
          </w:p>
        </w:tc>
        <w:tc>
          <w:tcPr>
            <w:tcW w:type="dxa" w:w="1843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Professor</w:t>
            </w:r>
          </w:p>
        </w:tc>
        <w:tc>
          <w:tcPr>
            <w:tcW w:type="dxa" w:w="227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Shandong University</w:t>
            </w:r>
          </w:p>
        </w:tc>
        <w:tc>
          <w:tcPr>
            <w:tcW w:type="dxa" w:w="2880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The FLARE Mission: From Solar Eruptions to Terrestrial Aurora with Cutting-Edge Space-Technology Demonstrations</w:t>
            </w:r>
          </w:p>
        </w:tc>
      </w:tr>
      <w:tr>
        <w:tc>
          <w:tcPr>
            <w:tcW w:type="dxa" w:w="132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14:30-15:00</w:t>
            </w:r>
          </w:p>
        </w:tc>
        <w:tc>
          <w:tcPr>
            <w:tcW w:type="dxa" w:w="1872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Shenghao Han</w:t>
            </w:r>
          </w:p>
        </w:tc>
        <w:tc>
          <w:tcPr>
            <w:tcW w:type="dxa" w:w="1843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Professor</w:t>
            </w:r>
          </w:p>
        </w:tc>
        <w:tc>
          <w:tcPr>
            <w:tcW w:type="dxa" w:w="227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Shandong University</w:t>
            </w:r>
          </w:p>
        </w:tc>
        <w:tc>
          <w:tcPr>
            <w:tcW w:type="dxa" w:w="2880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HAAI-2K: A high-sensitivity all-sky auroral imager for multi-scale auroral observations</w:t>
            </w:r>
          </w:p>
        </w:tc>
      </w:tr>
      <w:tr>
        <w:tc>
          <w:tcPr>
            <w:tcW w:type="dxa" w:w="132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15:00-15:30</w:t>
            </w:r>
          </w:p>
        </w:tc>
        <w:tc>
          <w:tcPr>
            <w:tcW w:type="dxa" w:w="1872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Zhiyu Yi</w:t>
            </w:r>
          </w:p>
        </w:tc>
        <w:tc>
          <w:tcPr>
            <w:tcW w:type="dxa" w:w="1843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Researcher</w:t>
            </w:r>
          </w:p>
        </w:tc>
        <w:tc>
          <w:tcPr>
            <w:tcW w:type="dxa" w:w="227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Sun Yat-sen University</w:t>
            </w:r>
          </w:p>
        </w:tc>
        <w:tc>
          <w:tcPr>
            <w:tcW w:type="dxa" w:w="2880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TBD</w:t>
            </w:r>
          </w:p>
        </w:tc>
      </w:tr>
      <w:tr>
        <w:tc>
          <w:tcPr>
            <w:tcW w:type="dxa" w:w="132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15:30-16:00</w:t>
            </w:r>
          </w:p>
        </w:tc>
        <w:tc>
          <w:tcPr>
            <w:tcW w:type="dxa" w:w="1872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Chao Yue</w:t>
            </w:r>
          </w:p>
        </w:tc>
        <w:tc>
          <w:tcPr>
            <w:tcW w:type="dxa" w:w="1843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Professor</w:t>
            </w:r>
          </w:p>
        </w:tc>
        <w:tc>
          <w:tcPr>
            <w:tcW w:type="dxa" w:w="227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Peking University</w:t>
            </w:r>
          </w:p>
        </w:tc>
        <w:tc>
          <w:tcPr>
            <w:tcW w:type="dxa" w:w="2880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How the Relative Contribution of DP-1 and DP-2 Currents Reshapes the Global Current System During Substorms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Thursday, 1 October 2026</w:t>
      </w:r>
    </w:p>
    <w:p>
      <w:pPr>
        <w:spacing w:before="0" w:after="160" w:line="269" w:lineRule="auto"/>
      </w:pPr>
      <w:r>
        <w:rPr>
          <w:rFonts w:ascii="Aptos" w:hAnsi="Aptos"/>
          <w:b w:val="0"/>
          <w:i w:val="0"/>
          <w:color w:val="5B6573"/>
          <w:sz w:val="19"/>
        </w:rPr>
        <w:t>Academic presentations throughout the day.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67"/>
        <w:gridCol w:w="1967"/>
        <w:gridCol w:w="1967"/>
        <w:gridCol w:w="1967"/>
        <w:gridCol w:w="1967"/>
      </w:tblGrid>
      <w:tr>
        <w:trPr>
          <w:tblHeader w:val="true"/>
        </w:trPr>
        <w:tc>
          <w:tcPr>
            <w:tcW w:type="dxa" w:w="1325"/>
            <w:shd w:fill="17365D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Time</w:t>
            </w:r>
          </w:p>
        </w:tc>
        <w:tc>
          <w:tcPr>
            <w:tcW w:type="dxa" w:w="1872"/>
            <w:shd w:fill="17365D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Name</w:t>
            </w:r>
          </w:p>
        </w:tc>
        <w:tc>
          <w:tcPr>
            <w:tcW w:type="dxa" w:w="1843"/>
            <w:shd w:fill="17365D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Title</w:t>
            </w:r>
          </w:p>
        </w:tc>
        <w:tc>
          <w:tcPr>
            <w:tcW w:type="dxa" w:w="2275"/>
            <w:shd w:fill="17365D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Affiliation</w:t>
            </w:r>
          </w:p>
        </w:tc>
        <w:tc>
          <w:tcPr>
            <w:tcW w:type="dxa" w:w="2880"/>
            <w:shd w:fill="17365D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Presentation Title</w:t>
            </w:r>
          </w:p>
        </w:tc>
      </w:tr>
      <w:tr>
        <w:tc>
          <w:tcPr>
            <w:tcW w:type="dxa" w:w="132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10:00-10:30</w:t>
            </w:r>
          </w:p>
        </w:tc>
        <w:tc>
          <w:tcPr>
            <w:tcW w:type="dxa" w:w="1872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Zanyang Xing</w:t>
            </w:r>
          </w:p>
        </w:tc>
        <w:tc>
          <w:tcPr>
            <w:tcW w:type="dxa" w:w="1843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Associate Professor</w:t>
            </w:r>
          </w:p>
        </w:tc>
        <w:tc>
          <w:tcPr>
            <w:tcW w:type="dxa" w:w="227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Shandong University</w:t>
            </w:r>
          </w:p>
        </w:tc>
        <w:tc>
          <w:tcPr>
            <w:tcW w:type="dxa" w:w="2880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Poleward Boundary Intensifications Associated with the Arrival of Polar Cap Patches</w:t>
            </w:r>
          </w:p>
        </w:tc>
      </w:tr>
      <w:tr>
        <w:tc>
          <w:tcPr>
            <w:tcW w:type="dxa" w:w="132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10:30-11:00</w:t>
            </w:r>
          </w:p>
        </w:tc>
        <w:tc>
          <w:tcPr>
            <w:tcW w:type="dxa" w:w="1872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Shengyang Gu</w:t>
            </w:r>
          </w:p>
        </w:tc>
        <w:tc>
          <w:tcPr>
            <w:tcW w:type="dxa" w:w="1843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Professor</w:t>
            </w:r>
          </w:p>
        </w:tc>
        <w:tc>
          <w:tcPr>
            <w:tcW w:type="dxa" w:w="227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Wuhan University</w:t>
            </w:r>
          </w:p>
        </w:tc>
        <w:tc>
          <w:tcPr>
            <w:tcW w:type="dxa" w:w="2880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Passive optical observations of the middle and upper atmosphere over Yellow River Station</w:t>
            </w:r>
          </w:p>
        </w:tc>
      </w:tr>
      <w:tr>
        <w:tc>
          <w:tcPr>
            <w:tcW w:type="dxa" w:w="132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11:00-11:30</w:t>
            </w:r>
          </w:p>
        </w:tc>
        <w:tc>
          <w:tcPr>
            <w:tcW w:type="dxa" w:w="1872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Bing Han</w:t>
            </w:r>
          </w:p>
        </w:tc>
        <w:tc>
          <w:tcPr>
            <w:tcW w:type="dxa" w:w="1843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Professor</w:t>
            </w:r>
          </w:p>
        </w:tc>
        <w:tc>
          <w:tcPr>
            <w:tcW w:type="dxa" w:w="227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Xidian University</w:t>
            </w:r>
          </w:p>
        </w:tc>
        <w:tc>
          <w:tcPr>
            <w:tcW w:type="dxa" w:w="2880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Substorm Events Retrieval Based on All-Sky Aurora Image Sequences from Zhongshan Station</w:t>
            </w:r>
          </w:p>
        </w:tc>
      </w:tr>
      <w:tr>
        <w:tc>
          <w:tcPr>
            <w:tcW w:type="dxa" w:w="132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11:30-12:00</w:t>
            </w:r>
          </w:p>
        </w:tc>
        <w:tc>
          <w:tcPr>
            <w:tcW w:type="dxa" w:w="1872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Xiaowen Yu</w:t>
            </w:r>
          </w:p>
        </w:tc>
        <w:tc>
          <w:tcPr>
            <w:tcW w:type="dxa" w:w="1843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Researcher</w:t>
            </w:r>
          </w:p>
        </w:tc>
        <w:tc>
          <w:tcPr>
            <w:tcW w:type="dxa" w:w="227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Chengdu University of Technology</w:t>
            </w:r>
          </w:p>
        </w:tc>
        <w:tc>
          <w:tcPr>
            <w:tcW w:type="dxa" w:w="2880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Cryogenic H₂SO₄ weathering of Martian basaltic minerals: dissolution kinetics, secondary sulfate mineralogy, and implications for Hesperian sulfate deposits</w:t>
            </w:r>
          </w:p>
        </w:tc>
      </w:tr>
      <w:tr>
        <w:tc>
          <w:tcPr>
            <w:tcW w:type="dxa" w:w="132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12:00-13:30</w:t>
            </w:r>
          </w:p>
        </w:tc>
        <w:tc>
          <w:tcPr>
            <w:tcW w:type="dxa" w:w="1872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Lunch</w:t>
            </w:r>
          </w:p>
        </w:tc>
        <w:tc>
          <w:tcPr>
            <w:tcW w:type="dxa" w:w="1843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</w:r>
          </w:p>
        </w:tc>
        <w:tc>
          <w:tcPr>
            <w:tcW w:type="dxa" w:w="227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</w:r>
          </w:p>
        </w:tc>
        <w:tc>
          <w:tcPr>
            <w:tcW w:type="dxa" w:w="2880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</w:r>
          </w:p>
        </w:tc>
      </w:tr>
      <w:tr>
        <w:tc>
          <w:tcPr>
            <w:tcW w:type="dxa" w:w="132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13:30-14:00</w:t>
            </w:r>
          </w:p>
        </w:tc>
        <w:tc>
          <w:tcPr>
            <w:tcW w:type="dxa" w:w="1872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Quanqi Shi</w:t>
            </w:r>
          </w:p>
        </w:tc>
        <w:tc>
          <w:tcPr>
            <w:tcW w:type="dxa" w:w="1843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Professor</w:t>
            </w:r>
          </w:p>
        </w:tc>
        <w:tc>
          <w:tcPr>
            <w:tcW w:type="dxa" w:w="227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Shandong University</w:t>
            </w:r>
          </w:p>
        </w:tc>
        <w:tc>
          <w:tcPr>
            <w:tcW w:type="dxa" w:w="2880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Lunar tidal electric field variations caused by coupling between Earth’s atmosphere and magnetosphere</w:t>
            </w:r>
          </w:p>
        </w:tc>
      </w:tr>
      <w:tr>
        <w:tc>
          <w:tcPr>
            <w:tcW w:type="dxa" w:w="132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14:00-14:30</w:t>
            </w:r>
          </w:p>
        </w:tc>
        <w:tc>
          <w:tcPr>
            <w:tcW w:type="dxa" w:w="1872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Li Li</w:t>
            </w:r>
          </w:p>
        </w:tc>
        <w:tc>
          <w:tcPr>
            <w:tcW w:type="dxa" w:w="1843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Researcher</w:t>
            </w:r>
          </w:p>
        </w:tc>
        <w:tc>
          <w:tcPr>
            <w:tcW w:type="dxa" w:w="227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China University of Geosciences (Beijing)</w:t>
            </w:r>
          </w:p>
        </w:tc>
        <w:tc>
          <w:tcPr>
            <w:tcW w:type="dxa" w:w="2880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Effects of Background Magnetic Gradient on the Number of Chorus Wave Elements</w:t>
            </w:r>
          </w:p>
        </w:tc>
      </w:tr>
      <w:tr>
        <w:tc>
          <w:tcPr>
            <w:tcW w:type="dxa" w:w="132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14:30-15:00</w:t>
            </w:r>
          </w:p>
        </w:tc>
        <w:tc>
          <w:tcPr>
            <w:tcW w:type="dxa" w:w="1872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Haobo Fu</w:t>
            </w:r>
          </w:p>
        </w:tc>
        <w:tc>
          <w:tcPr>
            <w:tcW w:type="dxa" w:w="1843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Assistant Researcher</w:t>
            </w:r>
          </w:p>
        </w:tc>
        <w:tc>
          <w:tcPr>
            <w:tcW w:type="dxa" w:w="227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GFZ German Research Centre for Geosciences</w:t>
            </w:r>
          </w:p>
        </w:tc>
        <w:tc>
          <w:tcPr>
            <w:tcW w:type="dxa" w:w="2880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Estimating the Occurrence Conditions of EMIC Waves Using Dual-RBSP Observations</w:t>
            </w:r>
          </w:p>
        </w:tc>
      </w:tr>
      <w:tr>
        <w:tc>
          <w:tcPr>
            <w:tcW w:type="dxa" w:w="132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15:00-15:30</w:t>
            </w:r>
          </w:p>
        </w:tc>
        <w:tc>
          <w:tcPr>
            <w:tcW w:type="dxa" w:w="1872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Shuo Yao</w:t>
            </w:r>
          </w:p>
        </w:tc>
        <w:tc>
          <w:tcPr>
            <w:tcW w:type="dxa" w:w="1843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Professor</w:t>
            </w:r>
          </w:p>
        </w:tc>
        <w:tc>
          <w:tcPr>
            <w:tcW w:type="dxa" w:w="227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China University of Geosciences (Beijing)</w:t>
            </w:r>
          </w:p>
        </w:tc>
        <w:tc>
          <w:tcPr>
            <w:tcW w:type="dxa" w:w="2880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Stronger Substorms and Higher Energy Input Driven by Interplanetary Coronal Mass Ejections Showing Enhanced Helium Abundance</w:t>
            </w:r>
          </w:p>
        </w:tc>
      </w:tr>
      <w:tr>
        <w:tc>
          <w:tcPr>
            <w:tcW w:type="dxa" w:w="132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15:30-16:00</w:t>
            </w:r>
          </w:p>
        </w:tc>
        <w:tc>
          <w:tcPr>
            <w:tcW w:type="dxa" w:w="1872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Dedong Wang</w:t>
            </w:r>
          </w:p>
        </w:tc>
        <w:tc>
          <w:tcPr>
            <w:tcW w:type="dxa" w:w="1843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Researcher</w:t>
            </w:r>
          </w:p>
        </w:tc>
        <w:tc>
          <w:tcPr>
            <w:tcW w:type="dxa" w:w="227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GFZ Helmholtz Centre for Geosciences</w:t>
            </w:r>
          </w:p>
        </w:tc>
        <w:tc>
          <w:tcPr>
            <w:tcW w:type="dxa" w:w="2880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NEOMI SEEP: A Mission Idea for Investigating Wave-Particle Interactions and Energetic Particle Precipitation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Friday, 2 October 2026</w:t>
      </w:r>
    </w:p>
    <w:p>
      <w:pPr>
        <w:spacing w:before="0" w:after="160" w:line="269" w:lineRule="auto"/>
      </w:pPr>
      <w:r>
        <w:rPr>
          <w:rFonts w:ascii="Aptos" w:hAnsi="Aptos"/>
          <w:b w:val="0"/>
          <w:i w:val="0"/>
          <w:color w:val="5B6573"/>
          <w:sz w:val="19"/>
        </w:rPr>
        <w:t>Academic presentations throughout the day.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67"/>
        <w:gridCol w:w="1967"/>
        <w:gridCol w:w="1967"/>
        <w:gridCol w:w="1967"/>
        <w:gridCol w:w="1967"/>
      </w:tblGrid>
      <w:tr>
        <w:trPr>
          <w:tblHeader w:val="true"/>
        </w:trPr>
        <w:tc>
          <w:tcPr>
            <w:tcW w:type="dxa" w:w="1325"/>
            <w:shd w:fill="17365D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Time</w:t>
            </w:r>
          </w:p>
        </w:tc>
        <w:tc>
          <w:tcPr>
            <w:tcW w:type="dxa" w:w="1872"/>
            <w:shd w:fill="17365D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Name</w:t>
            </w:r>
          </w:p>
        </w:tc>
        <w:tc>
          <w:tcPr>
            <w:tcW w:type="dxa" w:w="1843"/>
            <w:shd w:fill="17365D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Title</w:t>
            </w:r>
          </w:p>
        </w:tc>
        <w:tc>
          <w:tcPr>
            <w:tcW w:type="dxa" w:w="2275"/>
            <w:shd w:fill="17365D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Affiliation</w:t>
            </w:r>
          </w:p>
        </w:tc>
        <w:tc>
          <w:tcPr>
            <w:tcW w:type="dxa" w:w="2880"/>
            <w:shd w:fill="17365D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Presentation Title</w:t>
            </w:r>
          </w:p>
        </w:tc>
      </w:tr>
      <w:tr>
        <w:tc>
          <w:tcPr>
            <w:tcW w:type="dxa" w:w="132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10:00-10:30</w:t>
            </w:r>
          </w:p>
        </w:tc>
        <w:tc>
          <w:tcPr>
            <w:tcW w:type="dxa" w:w="1872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Jing Liu</w:t>
            </w:r>
          </w:p>
        </w:tc>
        <w:tc>
          <w:tcPr>
            <w:tcW w:type="dxa" w:w="1843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Researcher</w:t>
            </w:r>
          </w:p>
        </w:tc>
        <w:tc>
          <w:tcPr>
            <w:tcW w:type="dxa" w:w="227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Shandong University</w:t>
            </w:r>
          </w:p>
        </w:tc>
        <w:tc>
          <w:tcPr>
            <w:tcW w:type="dxa" w:w="2880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Redefining SAR Arc Generation: The Competing Roles of Magnetospheric and Ionospheric Energy Injection</w:t>
            </w:r>
          </w:p>
        </w:tc>
      </w:tr>
      <w:tr>
        <w:tc>
          <w:tcPr>
            <w:tcW w:type="dxa" w:w="132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10:30-11:00</w:t>
            </w:r>
          </w:p>
        </w:tc>
        <w:tc>
          <w:tcPr>
            <w:tcW w:type="dxa" w:w="1872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Marius Echim</w:t>
            </w:r>
          </w:p>
        </w:tc>
        <w:tc>
          <w:tcPr>
            <w:tcW w:type="dxa" w:w="1843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Researcher</w:t>
            </w:r>
          </w:p>
        </w:tc>
        <w:tc>
          <w:tcPr>
            <w:tcW w:type="dxa" w:w="227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Institute of Space Science, Romania; Royal Belgian Institute for Space Aeronomy</w:t>
            </w:r>
          </w:p>
        </w:tc>
        <w:tc>
          <w:tcPr>
            <w:tcW w:type="dxa" w:w="2880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Using spectroscopic observations and magnetosphere-ionosphere coupling modelling to estimate the kinetic properties of the magnetospheric generator feeding stable discrete auroral arcs</w:t>
            </w:r>
          </w:p>
        </w:tc>
      </w:tr>
      <w:tr>
        <w:tc>
          <w:tcPr>
            <w:tcW w:type="dxa" w:w="132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11:00-11:30</w:t>
            </w:r>
          </w:p>
        </w:tc>
        <w:tc>
          <w:tcPr>
            <w:tcW w:type="dxa" w:w="1872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Catalin Negrea</w:t>
            </w:r>
          </w:p>
        </w:tc>
        <w:tc>
          <w:tcPr>
            <w:tcW w:type="dxa" w:w="1843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Researcher</w:t>
            </w:r>
          </w:p>
        </w:tc>
        <w:tc>
          <w:tcPr>
            <w:tcW w:type="dxa" w:w="227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Institute of Space Science</w:t>
            </w:r>
          </w:p>
        </w:tc>
        <w:tc>
          <w:tcPr>
            <w:tcW w:type="dxa" w:w="2880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Providing global neutral density estimates using the CTIPe model and data assimilation</w:t>
            </w:r>
          </w:p>
        </w:tc>
      </w:tr>
      <w:tr>
        <w:tc>
          <w:tcPr>
            <w:tcW w:type="dxa" w:w="132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11:30-12:00</w:t>
            </w:r>
          </w:p>
        </w:tc>
        <w:tc>
          <w:tcPr>
            <w:tcW w:type="dxa" w:w="1872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Wenrui Wang</w:t>
            </w:r>
          </w:p>
        </w:tc>
        <w:tc>
          <w:tcPr>
            <w:tcW w:type="dxa" w:w="1843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Professor</w:t>
            </w:r>
          </w:p>
        </w:tc>
        <w:tc>
          <w:tcPr>
            <w:tcW w:type="dxa" w:w="227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State Key Laboratory of Lunar and Planetary Sciences, Macau University of Science and Technology</w:t>
            </w:r>
          </w:p>
        </w:tc>
        <w:tc>
          <w:tcPr>
            <w:tcW w:type="dxa" w:w="2880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Effect of the South Atlantic Anomaly on Aurora</w:t>
            </w:r>
          </w:p>
        </w:tc>
      </w:tr>
      <w:tr>
        <w:tc>
          <w:tcPr>
            <w:tcW w:type="dxa" w:w="132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12:00-13:30</w:t>
            </w:r>
          </w:p>
        </w:tc>
        <w:tc>
          <w:tcPr>
            <w:tcW w:type="dxa" w:w="1872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Lunch</w:t>
            </w:r>
          </w:p>
        </w:tc>
        <w:tc>
          <w:tcPr>
            <w:tcW w:type="dxa" w:w="1843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</w:r>
          </w:p>
        </w:tc>
        <w:tc>
          <w:tcPr>
            <w:tcW w:type="dxa" w:w="227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</w:r>
          </w:p>
        </w:tc>
        <w:tc>
          <w:tcPr>
            <w:tcW w:type="dxa" w:w="2880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</w:r>
          </w:p>
        </w:tc>
      </w:tr>
      <w:tr>
        <w:tc>
          <w:tcPr>
            <w:tcW w:type="dxa" w:w="132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13:30-14:00</w:t>
            </w:r>
          </w:p>
        </w:tc>
        <w:tc>
          <w:tcPr>
            <w:tcW w:type="dxa" w:w="1872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Jian Pei</w:t>
            </w:r>
          </w:p>
        </w:tc>
        <w:tc>
          <w:tcPr>
            <w:tcW w:type="dxa" w:w="1843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Researcher</w:t>
            </w:r>
          </w:p>
        </w:tc>
        <w:tc>
          <w:tcPr>
            <w:tcW w:type="dxa" w:w="227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Shandong University</w:t>
            </w:r>
          </w:p>
        </w:tc>
        <w:tc>
          <w:tcPr>
            <w:tcW w:type="dxa" w:w="2880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TBD</w:t>
            </w:r>
          </w:p>
        </w:tc>
      </w:tr>
      <w:tr>
        <w:tc>
          <w:tcPr>
            <w:tcW w:type="dxa" w:w="132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14:00-14:30</w:t>
            </w:r>
          </w:p>
        </w:tc>
        <w:tc>
          <w:tcPr>
            <w:tcW w:type="dxa" w:w="1872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Yuanhao Zheng</w:t>
            </w:r>
          </w:p>
        </w:tc>
        <w:tc>
          <w:tcPr>
            <w:tcW w:type="dxa" w:w="1843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Researcher</w:t>
            </w:r>
          </w:p>
        </w:tc>
        <w:tc>
          <w:tcPr>
            <w:tcW w:type="dxa" w:w="227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Shandong University</w:t>
            </w:r>
          </w:p>
        </w:tc>
        <w:tc>
          <w:tcPr>
            <w:tcW w:type="dxa" w:w="2880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TBD</w:t>
            </w:r>
          </w:p>
        </w:tc>
      </w:tr>
      <w:tr>
        <w:tc>
          <w:tcPr>
            <w:tcW w:type="dxa" w:w="132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14:30-15:00</w:t>
            </w:r>
          </w:p>
        </w:tc>
        <w:tc>
          <w:tcPr>
            <w:tcW w:type="dxa" w:w="1872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Jiannan Zhao</w:t>
            </w:r>
          </w:p>
        </w:tc>
        <w:tc>
          <w:tcPr>
            <w:tcW w:type="dxa" w:w="1843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Researcher</w:t>
            </w:r>
          </w:p>
        </w:tc>
        <w:tc>
          <w:tcPr>
            <w:tcW w:type="dxa" w:w="227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China University of Geosciences (Wuhan)</w:t>
            </w:r>
          </w:p>
        </w:tc>
        <w:tc>
          <w:tcPr>
            <w:tcW w:type="dxa" w:w="2880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TBD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Saturday, 3 October 2026</w:t>
      </w:r>
    </w:p>
    <w:p>
      <w:pPr>
        <w:spacing w:before="0" w:after="160" w:line="269" w:lineRule="auto"/>
      </w:pPr>
      <w:r>
        <w:rPr>
          <w:rFonts w:ascii="Aptos" w:hAnsi="Aptos"/>
          <w:b w:val="0"/>
          <w:i w:val="0"/>
          <w:color w:val="5B6573"/>
          <w:sz w:val="19"/>
        </w:rPr>
        <w:t>Roundtable discussion in the morning; scientific presentations in the afternoon.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67"/>
        <w:gridCol w:w="1967"/>
        <w:gridCol w:w="1967"/>
        <w:gridCol w:w="1967"/>
        <w:gridCol w:w="1967"/>
      </w:tblGrid>
      <w:tr>
        <w:trPr>
          <w:tblHeader w:val="true"/>
        </w:trPr>
        <w:tc>
          <w:tcPr>
            <w:tcW w:type="dxa" w:w="1325"/>
            <w:shd w:fill="17365D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Time</w:t>
            </w:r>
          </w:p>
        </w:tc>
        <w:tc>
          <w:tcPr>
            <w:tcW w:type="dxa" w:w="1872"/>
            <w:shd w:fill="17365D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Name</w:t>
            </w:r>
          </w:p>
        </w:tc>
        <w:tc>
          <w:tcPr>
            <w:tcW w:type="dxa" w:w="1843"/>
            <w:shd w:fill="17365D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Title</w:t>
            </w:r>
          </w:p>
        </w:tc>
        <w:tc>
          <w:tcPr>
            <w:tcW w:type="dxa" w:w="2275"/>
            <w:shd w:fill="17365D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Affiliation</w:t>
            </w:r>
          </w:p>
        </w:tc>
        <w:tc>
          <w:tcPr>
            <w:tcW w:type="dxa" w:w="2880"/>
            <w:shd w:fill="17365D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Presentation Title</w:t>
            </w:r>
          </w:p>
        </w:tc>
      </w:tr>
      <w:tr>
        <w:tc>
          <w:tcPr>
            <w:tcW w:type="dxa" w:w="132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10:00-12:00</w:t>
            </w:r>
          </w:p>
        </w:tc>
        <w:tc>
          <w:tcPr>
            <w:tcW w:type="dxa" w:w="1872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Roundtable discussion</w:t>
            </w:r>
          </w:p>
        </w:tc>
        <w:tc>
          <w:tcPr>
            <w:tcW w:type="dxa" w:w="1843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</w:r>
          </w:p>
        </w:tc>
        <w:tc>
          <w:tcPr>
            <w:tcW w:type="dxa" w:w="227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</w:r>
          </w:p>
        </w:tc>
        <w:tc>
          <w:tcPr>
            <w:tcW w:type="dxa" w:w="2880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</w:r>
          </w:p>
        </w:tc>
      </w:tr>
      <w:tr>
        <w:tc>
          <w:tcPr>
            <w:tcW w:type="dxa" w:w="132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12:00-13:00</w:t>
            </w:r>
          </w:p>
        </w:tc>
        <w:tc>
          <w:tcPr>
            <w:tcW w:type="dxa" w:w="1872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Lunch</w:t>
            </w:r>
          </w:p>
        </w:tc>
        <w:tc>
          <w:tcPr>
            <w:tcW w:type="dxa" w:w="1843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</w:r>
          </w:p>
        </w:tc>
        <w:tc>
          <w:tcPr>
            <w:tcW w:type="dxa" w:w="227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</w:r>
          </w:p>
        </w:tc>
        <w:tc>
          <w:tcPr>
            <w:tcW w:type="dxa" w:w="2880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</w:r>
          </w:p>
        </w:tc>
      </w:tr>
      <w:tr>
        <w:tc>
          <w:tcPr>
            <w:tcW w:type="dxa" w:w="132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14:00-14:30</w:t>
            </w:r>
          </w:p>
        </w:tc>
        <w:tc>
          <w:tcPr>
            <w:tcW w:type="dxa" w:w="1872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Bin Li</w:t>
            </w:r>
          </w:p>
        </w:tc>
        <w:tc>
          <w:tcPr>
            <w:tcW w:type="dxa" w:w="1843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Researcher</w:t>
            </w:r>
          </w:p>
        </w:tc>
        <w:tc>
          <w:tcPr>
            <w:tcW w:type="dxa" w:w="227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Polar Research Institute of China</w:t>
            </w:r>
          </w:p>
        </w:tc>
        <w:tc>
          <w:tcPr>
            <w:tcW w:type="dxa" w:w="2880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Fragmented Aurora-Like Emissions: A Visualization of Aurora Aroused Ionospheric Instability Ripples</w:t>
            </w:r>
          </w:p>
        </w:tc>
      </w:tr>
      <w:tr>
        <w:tc>
          <w:tcPr>
            <w:tcW w:type="dxa" w:w="132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14:30-15:00</w:t>
            </w:r>
          </w:p>
        </w:tc>
        <w:tc>
          <w:tcPr>
            <w:tcW w:type="dxa" w:w="1872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Zejun Hu</w:t>
            </w:r>
          </w:p>
        </w:tc>
        <w:tc>
          <w:tcPr>
            <w:tcW w:type="dxa" w:w="1843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 w:val="0"/>
                <w:sz w:val="14"/>
              </w:rPr>
              <w:t>Researcher</w:t>
            </w:r>
          </w:p>
        </w:tc>
        <w:tc>
          <w:tcPr>
            <w:tcW w:type="dxa" w:w="2275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Polar Research Institute of China</w:t>
            </w:r>
          </w:p>
        </w:tc>
        <w:tc>
          <w:tcPr>
            <w:tcW w:type="dxa" w:w="2880"/>
            <w:tcMar>
              <w:top w:w="60" w:type="dxa"/>
              <w:start w:w="65" w:type="dxa"/>
              <w:bottom w:w="60" w:type="dxa"/>
              <w:end w:w="65" w:type="dxa"/>
            </w:tcMar>
            <w:vAlign w:val="center"/>
            <w:shd w:fill="F8FAFC"/>
          </w:tcPr>
          <w:p>
            <w:pPr>
              <w:spacing w:after="0" w:line="240" w:lineRule="auto"/>
              <w:jc w:val="left"/>
            </w:pPr>
            <w:r>
              <w:rPr>
                <w:rFonts w:ascii="Aptos" w:hAnsi="Aptos"/>
                <w:b w:val="0"/>
                <w:sz w:val="14"/>
              </w:rPr>
              <w:t>Overview of the China-Iceland Arctic Scientific Observatory and space physics achievements</w:t>
            </w:r>
          </w:p>
        </w:tc>
      </w:tr>
    </w:tbl>
    <w:p>
      <w:pPr>
        <w:spacing w:before="320" w:after="80" w:line="269" w:lineRule="auto"/>
        <w:jc w:val="center"/>
      </w:pPr>
      <w:r>
        <w:rPr>
          <w:rFonts w:ascii="Aptos" w:hAnsi="Aptos"/>
          <w:b/>
          <w:i w:val="0"/>
          <w:color w:val="17365D"/>
          <w:sz w:val="23"/>
        </w:rPr>
        <w:t>We look forward to welcoming you to Iceland.</w:t>
      </w:r>
    </w:p>
    <w:p>
      <w:pPr>
        <w:spacing w:before="0" w:after="0" w:line="269" w:lineRule="auto"/>
        <w:jc w:val="center"/>
      </w:pPr>
      <w:r>
        <w:rPr>
          <w:rFonts w:ascii="Aptos" w:hAnsi="Aptos"/>
          <w:b w:val="0"/>
          <w:i w:val="0"/>
          <w:color w:val="5B6573"/>
          <w:sz w:val="19"/>
        </w:rPr>
        <w:t>Organizing Committee  |  ISSPMC 2026</w:t>
      </w:r>
    </w:p>
    <w:sectPr w:rsidR="00FC693F" w:rsidRPr="0006063C" w:rsidSect="00034616">
      <w:headerReference w:type="default" r:id="rId9"/>
      <w:footerReference w:type="default" r:id="rId10"/>
      <w:pgSz w:w="11909" w:h="16834"/>
      <w:pgMar w:top="1037" w:right="1037" w:bottom="979" w:left="1037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B6573"/>
        <w:sz w:val="16"/>
      </w:rPr>
      <w:t xml:space="preserve">ISSPMC 2026  •  China-Iceland Arctic Scientific Observatory  •  Page </w:t>
    </w:r>
    <w:r>
      <w:fldChar w:fldCharType="begin"/>
      <w:instrText xml:space="preserve">PAGE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5B6573"/>
        <w:sz w:val="16"/>
      </w:rPr>
      <w:t>ISSPMC 2026  |  SECOND ANNOUNCEMENT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7365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2E75B6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2E75B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ISSPMC 2026 Second Announcement</dc:title>
  <dc:subject>Space Physics and Multi-Sphere Coupling International Workshop</dc:subject>
  <dc:creator>ISSPMC 2026 Organizing Committee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